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D86AE">
      <w:pPr>
        <w:pStyle w:val="2"/>
        <w:spacing w:before="205" w:line="219" w:lineRule="auto"/>
        <w:ind w:left="46"/>
        <w:jc w:val="both"/>
        <w:rPr>
          <w:rFonts w:hint="default" w:eastAsia="宋体"/>
          <w:spacing w:val="-2"/>
          <w:sz w:val="36"/>
          <w:szCs w:val="36"/>
          <w:lang w:val="en-US" w:eastAsia="zh-CN"/>
        </w:rPr>
      </w:pPr>
      <w:r>
        <w:rPr>
          <w:rFonts w:hint="eastAsia"/>
          <w:spacing w:val="-2"/>
          <w:lang w:val="en-US" w:eastAsia="zh-CN"/>
        </w:rPr>
        <w:t xml:space="preserve">附件2：          </w:t>
      </w:r>
      <w:r>
        <w:rPr>
          <w:rFonts w:hint="eastAsia"/>
          <w:spacing w:val="-2"/>
          <w:sz w:val="36"/>
          <w:szCs w:val="36"/>
          <w:lang w:val="en-US" w:eastAsia="zh-CN"/>
        </w:rPr>
        <w:t xml:space="preserve"> 模拟灭火演练系统</w:t>
      </w:r>
      <w:bookmarkStart w:id="0" w:name="_GoBack"/>
      <w:bookmarkEnd w:id="0"/>
      <w:r>
        <w:rPr>
          <w:rFonts w:hint="eastAsia"/>
          <w:spacing w:val="-2"/>
          <w:sz w:val="36"/>
          <w:szCs w:val="36"/>
          <w:lang w:val="en-US" w:eastAsia="zh-CN"/>
        </w:rPr>
        <w:t>需求及报价（报价单可自拟）</w:t>
      </w:r>
    </w:p>
    <w:p w14:paraId="025EC136">
      <w:pPr>
        <w:spacing w:line="119" w:lineRule="exact"/>
      </w:pPr>
    </w:p>
    <w:p w14:paraId="0D5AB79B">
      <w:pPr>
        <w:spacing w:line="119" w:lineRule="exact"/>
      </w:pPr>
    </w:p>
    <w:p w14:paraId="3EABDC63">
      <w:pPr>
        <w:spacing w:line="119" w:lineRule="exact"/>
      </w:pPr>
    </w:p>
    <w:p w14:paraId="2E587417">
      <w:pPr>
        <w:spacing w:line="119" w:lineRule="exact"/>
      </w:pPr>
    </w:p>
    <w:p w14:paraId="784E9F14">
      <w:pPr>
        <w:spacing w:line="119" w:lineRule="exact"/>
      </w:pPr>
    </w:p>
    <w:p w14:paraId="1F0799AE">
      <w:pPr>
        <w:spacing w:line="119" w:lineRule="exact"/>
      </w:pPr>
    </w:p>
    <w:p w14:paraId="64880940">
      <w:pPr>
        <w:spacing w:line="119" w:lineRule="exact"/>
      </w:pPr>
    </w:p>
    <w:tbl>
      <w:tblPr>
        <w:tblStyle w:val="6"/>
        <w:tblW w:w="1052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4"/>
        <w:gridCol w:w="1303"/>
        <w:gridCol w:w="5024"/>
        <w:gridCol w:w="2600"/>
        <w:gridCol w:w="1091"/>
      </w:tblGrid>
      <w:tr w14:paraId="562F23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33" w:hRule="atLeast"/>
        </w:trPr>
        <w:tc>
          <w:tcPr>
            <w:tcW w:w="504" w:type="dxa"/>
            <w:shd w:val="clear" w:color="auto" w:fill="D7D7D7"/>
            <w:textDirection w:val="tbRlV"/>
            <w:vAlign w:val="top"/>
          </w:tcPr>
          <w:p w14:paraId="758B545A">
            <w:pPr>
              <w:pStyle w:val="7"/>
              <w:spacing w:before="143" w:line="218" w:lineRule="auto"/>
              <w:ind w:left="56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序 号</w:t>
            </w:r>
          </w:p>
        </w:tc>
        <w:tc>
          <w:tcPr>
            <w:tcW w:w="1303" w:type="dxa"/>
            <w:shd w:val="clear" w:color="auto" w:fill="D7D7D7"/>
            <w:vAlign w:val="top"/>
          </w:tcPr>
          <w:p w14:paraId="5795F480">
            <w:pPr>
              <w:pStyle w:val="7"/>
              <w:spacing w:before="212" w:line="230" w:lineRule="auto"/>
              <w:ind w:left="44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名称</w:t>
            </w:r>
          </w:p>
        </w:tc>
        <w:tc>
          <w:tcPr>
            <w:tcW w:w="5024" w:type="dxa"/>
            <w:shd w:val="clear" w:color="auto" w:fill="D7D7D7"/>
            <w:vAlign w:val="top"/>
          </w:tcPr>
          <w:p w14:paraId="49279CF8">
            <w:pPr>
              <w:pStyle w:val="7"/>
              <w:spacing w:before="212" w:line="228" w:lineRule="auto"/>
              <w:ind w:left="210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功能参数</w:t>
            </w:r>
          </w:p>
        </w:tc>
        <w:tc>
          <w:tcPr>
            <w:tcW w:w="2600" w:type="dxa"/>
            <w:shd w:val="clear" w:color="auto" w:fill="D7D7D7"/>
            <w:vAlign w:val="top"/>
          </w:tcPr>
          <w:p w14:paraId="00FE8EA2">
            <w:pPr>
              <w:pStyle w:val="7"/>
              <w:spacing w:before="212" w:line="229" w:lineRule="auto"/>
              <w:ind w:left="841" w:firstLine="210" w:firstLineChars="100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5"/>
                <w:sz w:val="20"/>
                <w:szCs w:val="20"/>
                <w:lang w:val="en-US" w:eastAsia="zh-CN"/>
              </w:rPr>
              <w:t>数量</w:t>
            </w:r>
          </w:p>
        </w:tc>
        <w:tc>
          <w:tcPr>
            <w:tcW w:w="1091" w:type="dxa"/>
            <w:shd w:val="clear" w:color="auto" w:fill="D7D7D7"/>
            <w:vAlign w:val="top"/>
          </w:tcPr>
          <w:p w14:paraId="30F4CD71">
            <w:pPr>
              <w:pStyle w:val="7"/>
              <w:spacing w:before="212" w:line="226" w:lineRule="auto"/>
              <w:ind w:left="340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价格</w:t>
            </w:r>
          </w:p>
        </w:tc>
      </w:tr>
      <w:tr w14:paraId="155985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3" w:hRule="atLeast"/>
        </w:trPr>
        <w:tc>
          <w:tcPr>
            <w:tcW w:w="504" w:type="dxa"/>
            <w:vAlign w:val="center"/>
          </w:tcPr>
          <w:p w14:paraId="5F5E3213">
            <w:pPr>
              <w:spacing w:line="269" w:lineRule="auto"/>
              <w:jc w:val="center"/>
              <w:rPr>
                <w:rFonts w:ascii="Arial"/>
                <w:sz w:val="21"/>
              </w:rPr>
            </w:pPr>
          </w:p>
          <w:p w14:paraId="410DF4E7">
            <w:pPr>
              <w:spacing w:line="269" w:lineRule="auto"/>
              <w:jc w:val="center"/>
              <w:rPr>
                <w:rFonts w:ascii="Arial"/>
                <w:sz w:val="21"/>
              </w:rPr>
            </w:pPr>
          </w:p>
          <w:p w14:paraId="08A3DD1E">
            <w:pPr>
              <w:spacing w:line="269" w:lineRule="auto"/>
              <w:jc w:val="center"/>
              <w:rPr>
                <w:rFonts w:ascii="Arial"/>
                <w:sz w:val="21"/>
              </w:rPr>
            </w:pPr>
          </w:p>
          <w:p w14:paraId="62C53CBE">
            <w:pPr>
              <w:spacing w:line="270" w:lineRule="auto"/>
              <w:jc w:val="center"/>
              <w:rPr>
                <w:rFonts w:ascii="Arial"/>
                <w:sz w:val="21"/>
              </w:rPr>
            </w:pPr>
          </w:p>
          <w:p w14:paraId="641E3027">
            <w:pPr>
              <w:spacing w:line="270" w:lineRule="auto"/>
              <w:jc w:val="center"/>
              <w:rPr>
                <w:rFonts w:ascii="Arial"/>
                <w:sz w:val="21"/>
              </w:rPr>
            </w:pPr>
          </w:p>
          <w:p w14:paraId="23D12378">
            <w:pPr>
              <w:spacing w:line="270" w:lineRule="auto"/>
              <w:jc w:val="center"/>
              <w:rPr>
                <w:rFonts w:ascii="Arial"/>
                <w:sz w:val="21"/>
              </w:rPr>
            </w:pPr>
          </w:p>
          <w:p w14:paraId="762646C8">
            <w:pPr>
              <w:spacing w:line="270" w:lineRule="auto"/>
              <w:jc w:val="center"/>
              <w:rPr>
                <w:rFonts w:ascii="Arial"/>
                <w:sz w:val="21"/>
              </w:rPr>
            </w:pPr>
          </w:p>
          <w:p w14:paraId="160E3C6A">
            <w:pPr>
              <w:spacing w:line="270" w:lineRule="auto"/>
              <w:jc w:val="center"/>
              <w:rPr>
                <w:rFonts w:ascii="Arial"/>
                <w:sz w:val="21"/>
              </w:rPr>
            </w:pPr>
          </w:p>
          <w:p w14:paraId="00A5CE59">
            <w:pPr>
              <w:pStyle w:val="7"/>
              <w:spacing w:before="65" w:line="270" w:lineRule="exact"/>
              <w:ind w:left="219"/>
              <w:jc w:val="center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  <w:tc>
          <w:tcPr>
            <w:tcW w:w="1303" w:type="dxa"/>
            <w:vAlign w:val="center"/>
          </w:tcPr>
          <w:p w14:paraId="153AF7F8">
            <w:pPr>
              <w:spacing w:line="250" w:lineRule="auto"/>
              <w:jc w:val="center"/>
              <w:rPr>
                <w:rFonts w:ascii="Arial"/>
                <w:sz w:val="21"/>
              </w:rPr>
            </w:pPr>
          </w:p>
          <w:p w14:paraId="7B718618">
            <w:pPr>
              <w:spacing w:line="250" w:lineRule="auto"/>
              <w:jc w:val="center"/>
              <w:rPr>
                <w:rFonts w:ascii="Arial"/>
                <w:sz w:val="21"/>
              </w:rPr>
            </w:pPr>
          </w:p>
          <w:p w14:paraId="24C8602A">
            <w:pPr>
              <w:spacing w:line="250" w:lineRule="auto"/>
              <w:jc w:val="center"/>
              <w:rPr>
                <w:rFonts w:ascii="Arial"/>
                <w:sz w:val="21"/>
              </w:rPr>
            </w:pPr>
          </w:p>
          <w:p w14:paraId="5911E106">
            <w:pPr>
              <w:spacing w:line="250" w:lineRule="auto"/>
              <w:jc w:val="center"/>
              <w:rPr>
                <w:rFonts w:ascii="Arial"/>
                <w:sz w:val="21"/>
              </w:rPr>
            </w:pPr>
          </w:p>
          <w:p w14:paraId="3074DFA1">
            <w:pPr>
              <w:spacing w:line="250" w:lineRule="auto"/>
              <w:jc w:val="center"/>
              <w:rPr>
                <w:rFonts w:ascii="Arial"/>
                <w:sz w:val="21"/>
              </w:rPr>
            </w:pPr>
          </w:p>
          <w:p w14:paraId="422CA838">
            <w:pPr>
              <w:spacing w:line="251" w:lineRule="auto"/>
              <w:jc w:val="center"/>
              <w:rPr>
                <w:rFonts w:ascii="Arial"/>
                <w:sz w:val="21"/>
              </w:rPr>
            </w:pPr>
          </w:p>
          <w:p w14:paraId="774D758C">
            <w:pPr>
              <w:spacing w:line="251" w:lineRule="auto"/>
              <w:jc w:val="center"/>
              <w:rPr>
                <w:rFonts w:ascii="Arial"/>
                <w:sz w:val="21"/>
              </w:rPr>
            </w:pPr>
          </w:p>
          <w:p w14:paraId="5F71EEC7">
            <w:pPr>
              <w:spacing w:line="251" w:lineRule="auto"/>
              <w:jc w:val="center"/>
              <w:rPr>
                <w:rFonts w:ascii="Arial"/>
                <w:sz w:val="21"/>
              </w:rPr>
            </w:pPr>
          </w:p>
          <w:p w14:paraId="0077E87D">
            <w:pPr>
              <w:pStyle w:val="7"/>
              <w:spacing w:before="65" w:line="289" w:lineRule="auto"/>
              <w:ind w:left="130" w:right="127" w:hanging="6"/>
              <w:jc w:val="center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火焰发生器</w:t>
            </w:r>
          </w:p>
        </w:tc>
        <w:tc>
          <w:tcPr>
            <w:tcW w:w="5024" w:type="dxa"/>
            <w:vAlign w:val="center"/>
          </w:tcPr>
          <w:p w14:paraId="512503C3">
            <w:pPr>
              <w:pStyle w:val="7"/>
              <w:spacing w:before="95" w:line="219" w:lineRule="auto"/>
              <w:ind w:left="118"/>
              <w:jc w:val="left"/>
            </w:pPr>
            <w:r>
              <w:rPr>
                <w:spacing w:val="-1"/>
              </w:rPr>
              <w:t>▲1、虚拟火采用水雾型仿真火焰</w:t>
            </w:r>
          </w:p>
          <w:p w14:paraId="728E7BB0">
            <w:pPr>
              <w:pStyle w:val="7"/>
              <w:spacing w:before="96" w:line="219" w:lineRule="auto"/>
              <w:ind w:left="114"/>
              <w:jc w:val="left"/>
            </w:pPr>
            <w:r>
              <w:rPr>
                <w:spacing w:val="-5"/>
              </w:rPr>
              <w:t>2、主机尺寸：</w:t>
            </w:r>
            <w:r>
              <w:rPr>
                <w:spacing w:val="-56"/>
              </w:rPr>
              <w:t xml:space="preserve"> </w:t>
            </w:r>
            <w:r>
              <w:rPr>
                <w:spacing w:val="-5"/>
              </w:rPr>
              <w:t>≈长</w:t>
            </w:r>
            <w:r>
              <w:rPr>
                <w:spacing w:val="-37"/>
              </w:rPr>
              <w:t xml:space="preserve"> </w:t>
            </w:r>
            <w:r>
              <w:rPr>
                <w:spacing w:val="-5"/>
              </w:rPr>
              <w:t>886×宽</w:t>
            </w:r>
            <w:r>
              <w:rPr>
                <w:spacing w:val="-37"/>
              </w:rPr>
              <w:t xml:space="preserve"> </w:t>
            </w:r>
            <w:r>
              <w:rPr>
                <w:spacing w:val="-5"/>
              </w:rPr>
              <w:t>256×高</w:t>
            </w:r>
            <w:r>
              <w:rPr>
                <w:spacing w:val="-35"/>
              </w:rPr>
              <w:t xml:space="preserve"> </w:t>
            </w:r>
            <w:r>
              <w:rPr>
                <w:spacing w:val="-5"/>
              </w:rPr>
              <w:t>240（mm）。</w:t>
            </w:r>
          </w:p>
          <w:p w14:paraId="1BF15940">
            <w:pPr>
              <w:pStyle w:val="7"/>
              <w:spacing w:before="96" w:line="219" w:lineRule="auto"/>
              <w:ind w:left="115"/>
              <w:jc w:val="left"/>
            </w:pPr>
            <w:r>
              <w:rPr>
                <w:spacing w:val="-3"/>
              </w:rPr>
              <w:t>3、最大功率：</w:t>
            </w:r>
            <w:r>
              <w:rPr>
                <w:spacing w:val="-66"/>
              </w:rPr>
              <w:t xml:space="preserve"> </w:t>
            </w:r>
            <w:r>
              <w:rPr>
                <w:spacing w:val="-3"/>
              </w:rPr>
              <w:t>≈500W</w:t>
            </w:r>
          </w:p>
          <w:p w14:paraId="422071B1">
            <w:pPr>
              <w:pStyle w:val="7"/>
              <w:spacing w:before="95" w:line="219" w:lineRule="auto"/>
              <w:ind w:left="111"/>
              <w:jc w:val="left"/>
            </w:pPr>
            <w:r>
              <w:rPr>
                <w:spacing w:val="-2"/>
              </w:rPr>
              <w:t>4、具有</w:t>
            </w:r>
            <w:r>
              <w:rPr>
                <w:spacing w:val="-31"/>
              </w:rPr>
              <w:t xml:space="preserve"> </w:t>
            </w:r>
            <w:r>
              <w:rPr>
                <w:spacing w:val="-2"/>
              </w:rPr>
              <w:t>7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级模拟火焰大小可调节。</w:t>
            </w:r>
          </w:p>
          <w:p w14:paraId="2F127F0F">
            <w:pPr>
              <w:pStyle w:val="7"/>
              <w:spacing w:before="96" w:line="219" w:lineRule="auto"/>
              <w:ind w:left="115"/>
              <w:jc w:val="left"/>
            </w:pPr>
            <w:r>
              <w:rPr>
                <w:spacing w:val="-3"/>
              </w:rPr>
              <w:t>5、可进行</w:t>
            </w:r>
            <w:r>
              <w:rPr>
                <w:spacing w:val="-26"/>
              </w:rPr>
              <w:t xml:space="preserve"> </w:t>
            </w:r>
            <w:r>
              <w:rPr>
                <w:spacing w:val="-3"/>
              </w:rPr>
              <w:t>6</w:t>
            </w:r>
            <w:r>
              <w:rPr>
                <w:spacing w:val="-35"/>
              </w:rPr>
              <w:t xml:space="preserve"> </w:t>
            </w:r>
            <w:r>
              <w:rPr>
                <w:spacing w:val="-3"/>
              </w:rPr>
              <w:t>级灭火难度设置。</w:t>
            </w:r>
          </w:p>
          <w:p w14:paraId="0E4DF01F">
            <w:pPr>
              <w:pStyle w:val="7"/>
              <w:spacing w:before="96" w:line="219" w:lineRule="auto"/>
              <w:ind w:left="113"/>
              <w:jc w:val="left"/>
            </w:pPr>
            <w:r>
              <w:rPr>
                <w:spacing w:val="-4"/>
              </w:rPr>
              <w:t>6、具有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10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级灭火进度。</w:t>
            </w:r>
          </w:p>
          <w:p w14:paraId="7690AD2E">
            <w:pPr>
              <w:pStyle w:val="7"/>
              <w:spacing w:before="99" w:line="219" w:lineRule="auto"/>
              <w:ind w:left="116"/>
              <w:jc w:val="left"/>
            </w:pPr>
            <w:r>
              <w:rPr>
                <w:spacing w:val="-2"/>
              </w:rPr>
              <w:t>7、内置水箱容量≥2L，工作时长≥8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小时。</w:t>
            </w:r>
          </w:p>
          <w:p w14:paraId="3DD6BE9B">
            <w:pPr>
              <w:pStyle w:val="7"/>
              <w:spacing w:before="96" w:line="219" w:lineRule="auto"/>
              <w:ind w:left="112"/>
              <w:jc w:val="left"/>
            </w:pPr>
            <w:r>
              <w:rPr>
                <w:spacing w:val="-2"/>
              </w:rPr>
              <w:t>8、具有</w:t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>30</w:t>
            </w:r>
            <w:r>
              <w:rPr>
                <w:spacing w:val="-39"/>
              </w:rPr>
              <w:t xml:space="preserve"> </w:t>
            </w:r>
            <w:r>
              <w:rPr>
                <w:spacing w:val="-2"/>
              </w:rPr>
              <w:t>秒灭火时间限定功能。</w:t>
            </w:r>
          </w:p>
          <w:p w14:paraId="55AC49CF">
            <w:pPr>
              <w:pStyle w:val="7"/>
              <w:spacing w:before="95" w:line="219" w:lineRule="auto"/>
              <w:ind w:left="118"/>
              <w:jc w:val="left"/>
            </w:pPr>
            <w:r>
              <w:rPr>
                <w:spacing w:val="-1"/>
              </w:rPr>
              <w:t>▲9、搭配模拟灭火器可进行灭火剂量累计喷射时间限定。</w:t>
            </w:r>
          </w:p>
          <w:p w14:paraId="146595CA">
            <w:pPr>
              <w:pStyle w:val="7"/>
              <w:spacing w:before="96" w:line="318" w:lineRule="auto"/>
              <w:ind w:left="115" w:right="413" w:firstLine="2"/>
              <w:jc w:val="left"/>
            </w:pPr>
            <w:r>
              <w:rPr>
                <w:spacing w:val="-1"/>
              </w:rPr>
              <w:t>▲10、对普通可见光抑制无干扰仅对模拟灭火器反应。在</w:t>
            </w:r>
            <w:r>
              <w:rPr>
                <w:spacing w:val="-2"/>
              </w:rPr>
              <w:t>3000LUX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光照强度下能正常运行。</w:t>
            </w:r>
          </w:p>
          <w:p w14:paraId="021E2662">
            <w:pPr>
              <w:pStyle w:val="7"/>
              <w:spacing w:line="218" w:lineRule="auto"/>
              <w:ind w:left="118"/>
              <w:jc w:val="left"/>
            </w:pPr>
            <w:r>
              <w:rPr>
                <w:spacing w:val="-1"/>
              </w:rPr>
              <w:t>▲11、可搭配上位机软件使用也可脱机单独使用。</w:t>
            </w:r>
          </w:p>
          <w:p w14:paraId="3790F8A1">
            <w:pPr>
              <w:pStyle w:val="7"/>
              <w:spacing w:before="99" w:line="219" w:lineRule="auto"/>
              <w:ind w:left="125"/>
              <w:jc w:val="left"/>
            </w:pPr>
            <w:r>
              <w:rPr>
                <w:spacing w:val="-1"/>
              </w:rPr>
              <w:t>12、具有语音播报功能，可模拟火焰燃烧音。</w:t>
            </w:r>
          </w:p>
          <w:p w14:paraId="39242BEA">
            <w:pPr>
              <w:pStyle w:val="7"/>
              <w:spacing w:before="97" w:line="219" w:lineRule="auto"/>
              <w:ind w:left="125"/>
              <w:jc w:val="left"/>
            </w:pPr>
            <w:r>
              <w:rPr>
                <w:spacing w:val="-1"/>
              </w:rPr>
              <w:t>13、一个灭火周期结束后具备火焰自动开启功能。</w:t>
            </w:r>
          </w:p>
          <w:p w14:paraId="47AB10A4">
            <w:pPr>
              <w:pStyle w:val="7"/>
              <w:spacing w:before="96" w:line="219" w:lineRule="auto"/>
              <w:ind w:left="125"/>
              <w:jc w:val="left"/>
            </w:pPr>
            <w:r>
              <w:rPr>
                <w:spacing w:val="-2"/>
              </w:rPr>
              <w:t>14、支持多人协同演练。</w:t>
            </w:r>
          </w:p>
        </w:tc>
        <w:tc>
          <w:tcPr>
            <w:tcW w:w="2600" w:type="dxa"/>
            <w:vAlign w:val="center"/>
          </w:tcPr>
          <w:p w14:paraId="6649B358">
            <w:pPr>
              <w:spacing w:line="334" w:lineRule="auto"/>
              <w:jc w:val="center"/>
              <w:rPr>
                <w:rFonts w:ascii="Arial"/>
                <w:sz w:val="21"/>
              </w:rPr>
            </w:pPr>
          </w:p>
          <w:p w14:paraId="38AC642D">
            <w:pPr>
              <w:spacing w:line="334" w:lineRule="auto"/>
              <w:jc w:val="center"/>
              <w:rPr>
                <w:rFonts w:ascii="Arial"/>
                <w:sz w:val="21"/>
              </w:rPr>
            </w:pPr>
          </w:p>
          <w:p w14:paraId="08BB2271">
            <w:pPr>
              <w:spacing w:line="1375" w:lineRule="exact"/>
              <w:ind w:firstLine="166"/>
              <w:jc w:val="center"/>
            </w:pPr>
            <w:r>
              <w:drawing>
                <wp:inline distT="0" distB="0" distL="114300" distR="114300">
                  <wp:extent cx="1200150" cy="91440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77577D">
            <w:pPr>
              <w:pStyle w:val="7"/>
              <w:spacing w:before="64" w:line="228" w:lineRule="auto"/>
              <w:jc w:val="both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需求4套</w:t>
            </w:r>
          </w:p>
        </w:tc>
        <w:tc>
          <w:tcPr>
            <w:tcW w:w="1091" w:type="dxa"/>
            <w:vAlign w:val="top"/>
          </w:tcPr>
          <w:p w14:paraId="38B763A1">
            <w:pPr>
              <w:spacing w:line="269" w:lineRule="auto"/>
              <w:rPr>
                <w:rFonts w:ascii="Arial"/>
                <w:sz w:val="21"/>
              </w:rPr>
            </w:pPr>
          </w:p>
          <w:p w14:paraId="2F506CDC">
            <w:pPr>
              <w:spacing w:line="269" w:lineRule="auto"/>
              <w:rPr>
                <w:rFonts w:ascii="Arial"/>
                <w:sz w:val="21"/>
              </w:rPr>
            </w:pPr>
          </w:p>
          <w:p w14:paraId="6C0300EE">
            <w:pPr>
              <w:spacing w:line="270" w:lineRule="auto"/>
              <w:rPr>
                <w:rFonts w:ascii="Arial"/>
                <w:sz w:val="21"/>
              </w:rPr>
            </w:pPr>
          </w:p>
          <w:p w14:paraId="0BDF58C7">
            <w:pPr>
              <w:spacing w:line="270" w:lineRule="auto"/>
              <w:rPr>
                <w:rFonts w:ascii="Arial"/>
                <w:sz w:val="21"/>
              </w:rPr>
            </w:pPr>
          </w:p>
          <w:p w14:paraId="4D171EF4">
            <w:pPr>
              <w:spacing w:line="270" w:lineRule="auto"/>
              <w:rPr>
                <w:rFonts w:ascii="Arial"/>
                <w:sz w:val="21"/>
              </w:rPr>
            </w:pPr>
          </w:p>
          <w:p w14:paraId="185F1A9B">
            <w:pPr>
              <w:spacing w:line="270" w:lineRule="auto"/>
              <w:rPr>
                <w:rFonts w:ascii="Arial"/>
                <w:sz w:val="21"/>
              </w:rPr>
            </w:pPr>
          </w:p>
          <w:p w14:paraId="6BFFEC22">
            <w:pPr>
              <w:spacing w:line="270" w:lineRule="auto"/>
              <w:rPr>
                <w:rFonts w:ascii="Arial"/>
                <w:sz w:val="21"/>
              </w:rPr>
            </w:pPr>
          </w:p>
          <w:p w14:paraId="17C93D69">
            <w:pPr>
              <w:spacing w:line="270" w:lineRule="auto"/>
              <w:rPr>
                <w:rFonts w:ascii="Arial"/>
                <w:sz w:val="21"/>
              </w:rPr>
            </w:pPr>
          </w:p>
          <w:p w14:paraId="16E76AB5">
            <w:pPr>
              <w:pStyle w:val="7"/>
              <w:spacing w:before="65" w:line="228" w:lineRule="auto"/>
              <w:ind w:left="210"/>
              <w:rPr>
                <w:sz w:val="20"/>
                <w:szCs w:val="20"/>
              </w:rPr>
            </w:pPr>
          </w:p>
        </w:tc>
      </w:tr>
      <w:tr w14:paraId="53E492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7" w:hRule="atLeast"/>
        </w:trPr>
        <w:tc>
          <w:tcPr>
            <w:tcW w:w="504" w:type="dxa"/>
            <w:vAlign w:val="center"/>
          </w:tcPr>
          <w:p w14:paraId="48DAFE94">
            <w:pPr>
              <w:pStyle w:val="7"/>
              <w:spacing w:before="65" w:line="270" w:lineRule="exact"/>
              <w:ind w:left="206"/>
              <w:jc w:val="center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03" w:type="dxa"/>
            <w:vAlign w:val="center"/>
          </w:tcPr>
          <w:p w14:paraId="672DDD7D">
            <w:pPr>
              <w:pStyle w:val="7"/>
              <w:spacing w:before="65" w:line="289" w:lineRule="auto"/>
              <w:ind w:left="130" w:right="127" w:hanging="6"/>
              <w:jc w:val="center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灭火器</w:t>
            </w:r>
          </w:p>
        </w:tc>
        <w:tc>
          <w:tcPr>
            <w:tcW w:w="5024" w:type="dxa"/>
            <w:vAlign w:val="center"/>
          </w:tcPr>
          <w:p w14:paraId="5C0E9273">
            <w:pPr>
              <w:pStyle w:val="7"/>
              <w:spacing w:before="94" w:line="219" w:lineRule="auto"/>
              <w:ind w:left="124"/>
              <w:jc w:val="left"/>
            </w:pPr>
            <w:r>
              <w:t>1、采用4KG</w:t>
            </w:r>
            <w:r>
              <w:rPr>
                <w:spacing w:val="-29"/>
              </w:rPr>
              <w:t xml:space="preserve"> </w:t>
            </w:r>
            <w:r>
              <w:t>灭火器瓶体工艺， 1-4KG</w:t>
            </w:r>
            <w:r>
              <w:rPr>
                <w:spacing w:val="-38"/>
              </w:rPr>
              <w:t xml:space="preserve"> </w:t>
            </w:r>
            <w:r>
              <w:t>配重可选择。</w:t>
            </w:r>
          </w:p>
          <w:p w14:paraId="36260FF0">
            <w:pPr>
              <w:pStyle w:val="7"/>
              <w:spacing w:before="95" w:line="318" w:lineRule="auto"/>
              <w:ind w:left="112" w:firstLine="1"/>
              <w:jc w:val="left"/>
            </w:pPr>
            <w:r>
              <w:rPr>
                <w:spacing w:val="-12"/>
              </w:rPr>
              <w:t>2、操作步骤与真实灭火器相似，具备“提</w:t>
            </w:r>
            <w:r>
              <w:rPr>
                <w:spacing w:val="-55"/>
              </w:rPr>
              <w:t xml:space="preserve"> </w:t>
            </w:r>
            <w:r>
              <w:rPr>
                <w:spacing w:val="-12"/>
              </w:rPr>
              <w:t>”“拔</w:t>
            </w:r>
            <w:r>
              <w:rPr>
                <w:spacing w:val="-66"/>
              </w:rPr>
              <w:t xml:space="preserve"> </w:t>
            </w:r>
            <w:r>
              <w:rPr>
                <w:spacing w:val="-12"/>
              </w:rPr>
              <w:t>”“握</w:t>
            </w:r>
            <w:r>
              <w:rPr>
                <w:spacing w:val="-67"/>
              </w:rPr>
              <w:t xml:space="preserve"> </w:t>
            </w:r>
            <w:r>
              <w:rPr>
                <w:spacing w:val="-12"/>
              </w:rPr>
              <w:t>”“压</w:t>
            </w:r>
            <w:r>
              <w:rPr>
                <w:spacing w:val="-66"/>
              </w:rPr>
              <w:t xml:space="preserve"> </w:t>
            </w:r>
            <w:r>
              <w:rPr>
                <w:spacing w:val="-12"/>
              </w:rPr>
              <w:t>”</w:t>
            </w:r>
            <w:r>
              <w:rPr>
                <w:spacing w:val="-3"/>
              </w:rPr>
              <w:t>标准使用训练步骤。</w:t>
            </w:r>
          </w:p>
          <w:p w14:paraId="237964B7">
            <w:pPr>
              <w:pStyle w:val="7"/>
              <w:spacing w:line="218" w:lineRule="auto"/>
              <w:ind w:left="117"/>
              <w:jc w:val="left"/>
            </w:pPr>
            <w:r>
              <w:rPr>
                <w:spacing w:val="-1"/>
              </w:rPr>
              <w:t>▲3、具有灭火器喷射声音，震动模拟功能。</w:t>
            </w:r>
          </w:p>
          <w:p w14:paraId="296B07F7">
            <w:pPr>
              <w:pStyle w:val="7"/>
              <w:spacing w:before="96" w:line="219" w:lineRule="auto"/>
              <w:ind w:left="117"/>
              <w:jc w:val="left"/>
            </w:pPr>
            <w:r>
              <w:rPr>
                <w:spacing w:val="-1"/>
              </w:rPr>
              <w:t>▲4、搭配火焰发生器可进行灭火剂量统计功能。</w:t>
            </w:r>
          </w:p>
          <w:p w14:paraId="669E1246">
            <w:pPr>
              <w:pStyle w:val="7"/>
              <w:spacing w:before="96" w:line="319" w:lineRule="auto"/>
              <w:ind w:left="117" w:right="105" w:hanging="2"/>
              <w:jc w:val="left"/>
            </w:pPr>
            <w:r>
              <w:t>5、可无限充电循环使用，运行功耗≤5W，满电状态可满足五</w:t>
            </w:r>
            <w:r>
              <w:rPr>
                <w:spacing w:val="-2"/>
              </w:rPr>
              <w:t>百人次以上演练。</w:t>
            </w:r>
          </w:p>
          <w:p w14:paraId="1C208EF2">
            <w:pPr>
              <w:pStyle w:val="7"/>
              <w:spacing w:line="218" w:lineRule="auto"/>
              <w:ind w:left="117"/>
              <w:jc w:val="left"/>
            </w:pPr>
            <w:r>
              <w:rPr>
                <w:spacing w:val="-5"/>
              </w:rPr>
              <w:t>▲6、采用可见光模拟灭火材料，1米距离处光照</w:t>
            </w:r>
            <w:r>
              <w:rPr>
                <w:spacing w:val="-6"/>
              </w:rPr>
              <w:t>强度≥5000Lux</w:t>
            </w:r>
          </w:p>
          <w:p w14:paraId="30D68ED5">
            <w:pPr>
              <w:pStyle w:val="7"/>
              <w:spacing w:before="96" w:line="215" w:lineRule="auto"/>
              <w:ind w:left="125"/>
              <w:jc w:val="left"/>
            </w:pPr>
            <w:r>
              <w:rPr>
                <w:spacing w:val="-1"/>
              </w:rPr>
              <w:t>▲7、无按键免维护，闲置时总电源为关断状态，内置电源管</w:t>
            </w:r>
            <w:r>
              <w:rPr>
                <w:rFonts w:hint="eastAsia"/>
                <w:spacing w:val="-1"/>
                <w:lang w:val="en-US" w:eastAsia="zh-CN"/>
              </w:rPr>
              <w:t>锂</w:t>
            </w:r>
            <w:r>
              <w:rPr>
                <w:spacing w:val="-1"/>
              </w:rPr>
              <w:t>电路不跑电不亏电。</w:t>
            </w:r>
          </w:p>
        </w:tc>
        <w:tc>
          <w:tcPr>
            <w:tcW w:w="2600" w:type="dxa"/>
            <w:vAlign w:val="center"/>
          </w:tcPr>
          <w:p w14:paraId="39DD1DA5">
            <w:pPr>
              <w:pStyle w:val="7"/>
              <w:spacing w:before="66" w:line="228" w:lineRule="auto"/>
              <w:jc w:val="both"/>
              <w:rPr>
                <w:rFonts w:hint="eastAsia"/>
                <w:position w:val="-39"/>
                <w:lang w:val="en-US" w:eastAsia="zh-CN"/>
              </w:rPr>
            </w:pPr>
            <w:r>
              <w:rPr>
                <w:rFonts w:hint="eastAsia"/>
                <w:position w:val="-39"/>
                <w:lang w:val="en-US" w:eastAsia="zh-CN"/>
              </w:rPr>
              <w:t xml:space="preserve">        </w:t>
            </w:r>
            <w:r>
              <w:rPr>
                <w:position w:val="-39"/>
              </w:rPr>
              <w:drawing>
                <wp:inline distT="0" distB="0" distL="0" distR="0">
                  <wp:extent cx="665480" cy="1266825"/>
                  <wp:effectExtent l="0" t="0" r="1270" b="9525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672" cy="1267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position w:val="-39"/>
                <w:lang w:val="en-US" w:eastAsia="zh-CN"/>
              </w:rPr>
              <w:t xml:space="preserve"> </w:t>
            </w:r>
          </w:p>
          <w:p w14:paraId="386B243E">
            <w:pPr>
              <w:pStyle w:val="7"/>
              <w:spacing w:before="66" w:line="228" w:lineRule="auto"/>
              <w:ind w:firstLine="1080" w:firstLineChars="600"/>
              <w:jc w:val="both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position w:val="-39"/>
                <w:lang w:val="en-US" w:eastAsia="zh-CN"/>
              </w:rPr>
              <w:t xml:space="preserve"> 4只              </w:t>
            </w:r>
          </w:p>
        </w:tc>
        <w:tc>
          <w:tcPr>
            <w:tcW w:w="1091" w:type="dxa"/>
            <w:vAlign w:val="top"/>
          </w:tcPr>
          <w:p w14:paraId="4E491CE2">
            <w:pPr>
              <w:pStyle w:val="7"/>
              <w:spacing w:before="65" w:line="228" w:lineRule="auto"/>
              <w:ind w:left="172"/>
              <w:rPr>
                <w:sz w:val="20"/>
                <w:szCs w:val="20"/>
              </w:rPr>
            </w:pPr>
          </w:p>
        </w:tc>
      </w:tr>
    </w:tbl>
    <w:p w14:paraId="0A54E313">
      <w:pPr>
        <w:rPr>
          <w:rFonts w:ascii="Arial"/>
          <w:sz w:val="21"/>
        </w:rPr>
      </w:pPr>
    </w:p>
    <w:tbl>
      <w:tblPr>
        <w:tblStyle w:val="6"/>
        <w:tblW w:w="105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4"/>
        <w:gridCol w:w="1303"/>
        <w:gridCol w:w="5008"/>
        <w:gridCol w:w="2633"/>
        <w:gridCol w:w="1057"/>
      </w:tblGrid>
      <w:tr w14:paraId="730AA2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868" w:hRule="atLeast"/>
        </w:trPr>
        <w:tc>
          <w:tcPr>
            <w:tcW w:w="504" w:type="dxa"/>
            <w:vAlign w:val="top"/>
          </w:tcPr>
          <w:p w14:paraId="65EBDCAF">
            <w:pPr>
              <w:spacing w:line="253" w:lineRule="auto"/>
              <w:rPr>
                <w:rFonts w:ascii="Arial"/>
                <w:sz w:val="21"/>
              </w:rPr>
            </w:pPr>
          </w:p>
          <w:p w14:paraId="78CE70E4">
            <w:pPr>
              <w:spacing w:line="253" w:lineRule="auto"/>
              <w:rPr>
                <w:rFonts w:ascii="Arial"/>
                <w:sz w:val="21"/>
              </w:rPr>
            </w:pPr>
          </w:p>
          <w:p w14:paraId="6900618F">
            <w:pPr>
              <w:spacing w:line="254" w:lineRule="auto"/>
              <w:rPr>
                <w:rFonts w:ascii="Arial"/>
                <w:sz w:val="21"/>
              </w:rPr>
            </w:pPr>
          </w:p>
          <w:p w14:paraId="1D936EDA">
            <w:pPr>
              <w:pStyle w:val="7"/>
              <w:spacing w:before="65" w:line="268" w:lineRule="exact"/>
              <w:ind w:left="207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position w:val="1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303" w:type="dxa"/>
            <w:vAlign w:val="top"/>
          </w:tcPr>
          <w:p w14:paraId="72EB6217">
            <w:pPr>
              <w:spacing w:line="253" w:lineRule="auto"/>
              <w:rPr>
                <w:rFonts w:ascii="Arial"/>
                <w:sz w:val="21"/>
              </w:rPr>
            </w:pPr>
          </w:p>
          <w:p w14:paraId="73381AB7">
            <w:pPr>
              <w:spacing w:line="253" w:lineRule="auto"/>
              <w:rPr>
                <w:rFonts w:ascii="Arial"/>
                <w:sz w:val="21"/>
              </w:rPr>
            </w:pPr>
          </w:p>
          <w:p w14:paraId="6FB70A14">
            <w:pPr>
              <w:spacing w:line="253" w:lineRule="auto"/>
              <w:rPr>
                <w:rFonts w:ascii="Arial"/>
                <w:sz w:val="21"/>
              </w:rPr>
            </w:pPr>
          </w:p>
          <w:p w14:paraId="60F0C503">
            <w:pPr>
              <w:pStyle w:val="7"/>
              <w:spacing w:before="65" w:line="228" w:lineRule="auto"/>
              <w:ind w:left="131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航空运输箱</w:t>
            </w:r>
          </w:p>
        </w:tc>
        <w:tc>
          <w:tcPr>
            <w:tcW w:w="5008" w:type="dxa"/>
            <w:vAlign w:val="top"/>
          </w:tcPr>
          <w:p w14:paraId="28338CC1">
            <w:pPr>
              <w:pStyle w:val="7"/>
              <w:spacing w:before="99" w:line="219" w:lineRule="auto"/>
              <w:ind w:left="124"/>
            </w:pPr>
            <w:r>
              <w:rPr>
                <w:spacing w:val="-1"/>
              </w:rPr>
              <w:t>1、使用便捷，具有万向轮，运输使用方便。</w:t>
            </w:r>
          </w:p>
          <w:p w14:paraId="68C6EEFB">
            <w:pPr>
              <w:pStyle w:val="7"/>
              <w:spacing w:before="96" w:line="219" w:lineRule="auto"/>
              <w:ind w:left="117"/>
              <w:rPr>
                <w:rFonts w:hint="default" w:eastAsia="宋体"/>
                <w:lang w:val="en-US" w:eastAsia="zh-CN"/>
              </w:rPr>
            </w:pPr>
            <w:r>
              <w:rPr>
                <w:spacing w:val="-1"/>
              </w:rPr>
              <w:t>▲2、可在箱内直接开展培训</w:t>
            </w:r>
            <w:r>
              <w:rPr>
                <w:rFonts w:hint="eastAsia"/>
                <w:spacing w:val="-1"/>
                <w:lang w:eastAsia="zh-CN"/>
              </w:rPr>
              <w:t>，</w:t>
            </w:r>
            <w:r>
              <w:rPr>
                <w:rFonts w:hint="eastAsia"/>
                <w:spacing w:val="-1"/>
                <w:lang w:val="en-US" w:eastAsia="zh-CN"/>
              </w:rPr>
              <w:t>与火焰发生器配套使用</w:t>
            </w:r>
          </w:p>
          <w:p w14:paraId="7DBA2DBC">
            <w:pPr>
              <w:pStyle w:val="7"/>
              <w:numPr>
                <w:ilvl w:val="0"/>
                <w:numId w:val="1"/>
              </w:numPr>
              <w:spacing w:before="95" w:line="219" w:lineRule="auto"/>
              <w:ind w:left="115"/>
              <w:rPr>
                <w:rFonts w:hint="eastAsia"/>
                <w:spacing w:val="-6"/>
                <w:lang w:val="en-US" w:eastAsia="zh-CN"/>
              </w:rPr>
            </w:pPr>
            <w:r>
              <w:rPr>
                <w:spacing w:val="-6"/>
              </w:rPr>
              <w:t>箱体尺寸：</w:t>
            </w:r>
            <w:r>
              <w:rPr>
                <w:spacing w:val="-52"/>
              </w:rPr>
              <w:t xml:space="preserve"> </w:t>
            </w:r>
            <w:r>
              <w:rPr>
                <w:spacing w:val="-6"/>
              </w:rPr>
              <w:t>≈长</w:t>
            </w:r>
            <w:r>
              <w:rPr>
                <w:spacing w:val="-39"/>
              </w:rPr>
              <w:t xml:space="preserve"> </w:t>
            </w:r>
            <w:r>
              <w:rPr>
                <w:spacing w:val="-6"/>
              </w:rPr>
              <w:t>95×宽</w:t>
            </w:r>
            <w:r>
              <w:rPr>
                <w:spacing w:val="-34"/>
              </w:rPr>
              <w:t xml:space="preserve"> </w:t>
            </w:r>
            <w:r>
              <w:rPr>
                <w:spacing w:val="-6"/>
              </w:rPr>
              <w:t>35×高</w:t>
            </w:r>
            <w:r>
              <w:rPr>
                <w:spacing w:val="-34"/>
              </w:rPr>
              <w:t xml:space="preserve"> </w:t>
            </w:r>
            <w:r>
              <w:rPr>
                <w:spacing w:val="-6"/>
              </w:rPr>
              <w:t>35（cm）。</w:t>
            </w:r>
            <w:r>
              <w:rPr>
                <w:rFonts w:hint="eastAsia"/>
                <w:spacing w:val="-6"/>
                <w:lang w:val="en-US" w:eastAsia="zh-CN"/>
              </w:rPr>
              <w:t>铝合金材质</w:t>
            </w:r>
          </w:p>
          <w:p w14:paraId="0F250E89">
            <w:pPr>
              <w:pStyle w:val="7"/>
              <w:numPr>
                <w:ilvl w:val="0"/>
                <w:numId w:val="0"/>
              </w:numPr>
              <w:spacing w:before="95" w:line="219" w:lineRule="auto"/>
              <w:rPr>
                <w:rFonts w:hint="default"/>
                <w:spacing w:val="-6"/>
                <w:lang w:val="en-US" w:eastAsia="zh-CN"/>
              </w:rPr>
            </w:pPr>
          </w:p>
        </w:tc>
        <w:tc>
          <w:tcPr>
            <w:tcW w:w="2633" w:type="dxa"/>
            <w:vAlign w:val="top"/>
          </w:tcPr>
          <w:p w14:paraId="27C87FB1">
            <w:pPr>
              <w:spacing w:line="271" w:lineRule="auto"/>
              <w:rPr>
                <w:rFonts w:ascii="Arial"/>
                <w:sz w:val="21"/>
              </w:rPr>
            </w:pPr>
          </w:p>
          <w:p w14:paraId="35259FCA">
            <w:pPr>
              <w:spacing w:line="1322" w:lineRule="exact"/>
              <w:rPr>
                <w:rFonts w:hint="default" w:eastAsia="宋体"/>
                <w:position w:val="-26"/>
                <w:lang w:val="en-US" w:eastAsia="zh-CN"/>
              </w:rPr>
            </w:pPr>
            <w:r>
              <w:rPr>
                <w:position w:val="-26"/>
              </w:rPr>
              <w:drawing>
                <wp:inline distT="0" distB="0" distL="0" distR="0">
                  <wp:extent cx="1261745" cy="839470"/>
                  <wp:effectExtent l="0" t="0" r="14605" b="1778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331" cy="839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position w:val="-26"/>
                <w:lang w:val="en-US" w:eastAsia="zh-CN"/>
              </w:rPr>
              <w:t>4个</w:t>
            </w:r>
          </w:p>
        </w:tc>
        <w:tc>
          <w:tcPr>
            <w:tcW w:w="1057" w:type="dxa"/>
            <w:vAlign w:val="top"/>
          </w:tcPr>
          <w:p w14:paraId="600F0246">
            <w:pPr>
              <w:spacing w:line="253" w:lineRule="auto"/>
              <w:rPr>
                <w:rFonts w:ascii="Arial"/>
                <w:sz w:val="21"/>
              </w:rPr>
            </w:pPr>
          </w:p>
          <w:p w14:paraId="34FA4317">
            <w:pPr>
              <w:spacing w:line="253" w:lineRule="auto"/>
              <w:rPr>
                <w:rFonts w:ascii="Arial"/>
                <w:sz w:val="21"/>
              </w:rPr>
            </w:pPr>
          </w:p>
          <w:p w14:paraId="1B5172A8">
            <w:pPr>
              <w:spacing w:line="254" w:lineRule="auto"/>
              <w:rPr>
                <w:rFonts w:ascii="Arial"/>
                <w:sz w:val="21"/>
              </w:rPr>
            </w:pPr>
          </w:p>
          <w:p w14:paraId="5D1229BB">
            <w:pPr>
              <w:pStyle w:val="7"/>
              <w:spacing w:before="65" w:line="228" w:lineRule="auto"/>
              <w:ind w:left="194"/>
              <w:rPr>
                <w:sz w:val="20"/>
                <w:szCs w:val="20"/>
              </w:rPr>
            </w:pPr>
          </w:p>
        </w:tc>
      </w:tr>
      <w:tr w14:paraId="75D327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8" w:hRule="atLeast"/>
        </w:trPr>
        <w:tc>
          <w:tcPr>
            <w:tcW w:w="504" w:type="dxa"/>
            <w:vAlign w:val="top"/>
          </w:tcPr>
          <w:p w14:paraId="3A927D84">
            <w:pPr>
              <w:spacing w:line="262" w:lineRule="auto"/>
              <w:rPr>
                <w:rFonts w:ascii="Arial"/>
                <w:sz w:val="21"/>
              </w:rPr>
            </w:pPr>
          </w:p>
          <w:p w14:paraId="083B615F">
            <w:pPr>
              <w:spacing w:line="262" w:lineRule="auto"/>
              <w:rPr>
                <w:rFonts w:ascii="Arial"/>
                <w:sz w:val="21"/>
              </w:rPr>
            </w:pPr>
          </w:p>
          <w:p w14:paraId="5147934D">
            <w:pPr>
              <w:spacing w:line="262" w:lineRule="auto"/>
              <w:rPr>
                <w:rFonts w:ascii="Arial"/>
                <w:sz w:val="21"/>
              </w:rPr>
            </w:pPr>
          </w:p>
          <w:p w14:paraId="32F3962A">
            <w:pPr>
              <w:spacing w:line="262" w:lineRule="auto"/>
              <w:rPr>
                <w:rFonts w:ascii="Arial"/>
                <w:sz w:val="21"/>
              </w:rPr>
            </w:pPr>
          </w:p>
          <w:p w14:paraId="3AD36DE4">
            <w:pPr>
              <w:spacing w:line="262" w:lineRule="auto"/>
              <w:rPr>
                <w:rFonts w:ascii="Arial"/>
                <w:sz w:val="21"/>
              </w:rPr>
            </w:pPr>
          </w:p>
          <w:p w14:paraId="6F70AB17">
            <w:pPr>
              <w:spacing w:line="263" w:lineRule="auto"/>
              <w:rPr>
                <w:rFonts w:ascii="Arial"/>
                <w:sz w:val="21"/>
              </w:rPr>
            </w:pPr>
          </w:p>
          <w:p w14:paraId="554DD8E5">
            <w:pPr>
              <w:spacing w:line="263" w:lineRule="auto"/>
              <w:rPr>
                <w:rFonts w:ascii="Arial"/>
                <w:sz w:val="21"/>
              </w:rPr>
            </w:pPr>
          </w:p>
          <w:p w14:paraId="1FF28C2D">
            <w:pPr>
              <w:pStyle w:val="7"/>
              <w:spacing w:before="65" w:line="270" w:lineRule="exact"/>
              <w:ind w:left="205" w:leftChars="0"/>
              <w:rPr>
                <w:rFonts w:hint="eastAsia"/>
                <w:position w:val="1"/>
                <w:sz w:val="20"/>
                <w:szCs w:val="20"/>
                <w:lang w:val="en-US" w:eastAsia="zh-CN"/>
              </w:rPr>
            </w:pPr>
            <w:r>
              <w:rPr>
                <w:position w:val="1"/>
                <w:sz w:val="20"/>
                <w:szCs w:val="20"/>
              </w:rPr>
              <w:t>4</w:t>
            </w:r>
          </w:p>
        </w:tc>
        <w:tc>
          <w:tcPr>
            <w:tcW w:w="1303" w:type="dxa"/>
            <w:vAlign w:val="top"/>
          </w:tcPr>
          <w:p w14:paraId="18DF1CB7">
            <w:pPr>
              <w:spacing w:line="274" w:lineRule="auto"/>
              <w:rPr>
                <w:rFonts w:ascii="Arial"/>
                <w:sz w:val="21"/>
              </w:rPr>
            </w:pPr>
          </w:p>
          <w:p w14:paraId="3E85C29C">
            <w:pPr>
              <w:spacing w:line="274" w:lineRule="auto"/>
              <w:rPr>
                <w:rFonts w:ascii="Arial"/>
                <w:sz w:val="21"/>
              </w:rPr>
            </w:pPr>
          </w:p>
          <w:p w14:paraId="768432C6">
            <w:pPr>
              <w:spacing w:line="274" w:lineRule="auto"/>
              <w:rPr>
                <w:rFonts w:ascii="Arial"/>
                <w:sz w:val="21"/>
              </w:rPr>
            </w:pPr>
          </w:p>
          <w:p w14:paraId="69A09EC8">
            <w:pPr>
              <w:spacing w:line="274" w:lineRule="auto"/>
              <w:rPr>
                <w:rFonts w:ascii="Arial"/>
                <w:sz w:val="21"/>
              </w:rPr>
            </w:pPr>
          </w:p>
          <w:p w14:paraId="533A5D2E">
            <w:pPr>
              <w:spacing w:line="275" w:lineRule="auto"/>
              <w:rPr>
                <w:rFonts w:ascii="Arial"/>
                <w:sz w:val="21"/>
              </w:rPr>
            </w:pPr>
          </w:p>
          <w:p w14:paraId="6AF8E9A9">
            <w:pPr>
              <w:pStyle w:val="7"/>
              <w:spacing w:before="66" w:line="228" w:lineRule="auto"/>
              <w:ind w:left="126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【标配】上</w:t>
            </w:r>
          </w:p>
          <w:p w14:paraId="45967029">
            <w:pPr>
              <w:pStyle w:val="7"/>
              <w:spacing w:before="64" w:line="227" w:lineRule="auto"/>
              <w:ind w:left="23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位机软件</w:t>
            </w:r>
          </w:p>
          <w:p w14:paraId="600D2214">
            <w:pPr>
              <w:pStyle w:val="7"/>
              <w:spacing w:before="66" w:line="227" w:lineRule="auto"/>
              <w:ind w:left="24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（虚拟商</w:t>
            </w:r>
          </w:p>
          <w:p w14:paraId="6D989569">
            <w:pPr>
              <w:pStyle w:val="7"/>
              <w:spacing w:before="66" w:line="232" w:lineRule="auto"/>
              <w:ind w:left="463" w:leftChars="0"/>
              <w:rPr>
                <w:spacing w:val="8"/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品）</w:t>
            </w:r>
          </w:p>
        </w:tc>
        <w:tc>
          <w:tcPr>
            <w:tcW w:w="5008" w:type="dxa"/>
            <w:vAlign w:val="top"/>
          </w:tcPr>
          <w:p w14:paraId="1545C1CE">
            <w:pPr>
              <w:pStyle w:val="7"/>
              <w:spacing w:before="97" w:line="219" w:lineRule="auto"/>
              <w:ind w:left="124"/>
            </w:pPr>
            <w:r>
              <w:rPr>
                <w:spacing w:val="-2"/>
              </w:rPr>
              <w:t>1、在</w:t>
            </w:r>
            <w:r>
              <w:rPr>
                <w:spacing w:val="-32"/>
              </w:rPr>
              <w:t xml:space="preserve"> </w:t>
            </w:r>
            <w:r>
              <w:rPr>
                <w:spacing w:val="-2"/>
              </w:rPr>
              <w:t>windows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环境下运行，显示分辨率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1920×1080。</w:t>
            </w:r>
          </w:p>
          <w:p w14:paraId="53D0CE4B">
            <w:pPr>
              <w:pStyle w:val="7"/>
              <w:spacing w:before="94" w:line="318" w:lineRule="auto"/>
              <w:ind w:left="112" w:right="127" w:firstLine="4"/>
            </w:pPr>
            <w:r>
              <w:rPr>
                <w:spacing w:val="-1"/>
              </w:rPr>
              <w:t>▲2、具有灭火体验、消防考核、消防宣传、火灾自救、反面案例、灭火器介绍功能。</w:t>
            </w:r>
          </w:p>
          <w:p w14:paraId="60B6230E">
            <w:pPr>
              <w:pStyle w:val="7"/>
              <w:spacing w:before="1" w:line="317" w:lineRule="auto"/>
              <w:ind w:left="126" w:right="127" w:hanging="11"/>
            </w:pPr>
            <w:r>
              <w:rPr>
                <w:spacing w:val="-1"/>
              </w:rPr>
              <w:t>3、消防知识宣讲功能可在后台自行进行更换，不局限于软件</w:t>
            </w:r>
            <w:r>
              <w:rPr>
                <w:spacing w:val="-5"/>
              </w:rPr>
              <w:t>固定内容。</w:t>
            </w:r>
          </w:p>
          <w:p w14:paraId="700BD757">
            <w:pPr>
              <w:pStyle w:val="7"/>
              <w:spacing w:before="1" w:line="318" w:lineRule="auto"/>
              <w:ind w:left="110" w:right="69"/>
            </w:pPr>
            <w:r>
              <w:rPr>
                <w:spacing w:val="-2"/>
              </w:rPr>
              <w:t>4、至少包含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10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个模拟火灾场景，具有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A、B、C、D、E、F，6个火灾类型，具有灾情介绍、灭火进度灭火时间显示等功能。</w:t>
            </w:r>
          </w:p>
          <w:p w14:paraId="118DBD26">
            <w:pPr>
              <w:pStyle w:val="7"/>
              <w:spacing w:before="1" w:line="317" w:lineRule="auto"/>
              <w:ind w:left="112" w:right="127" w:firstLine="4"/>
            </w:pPr>
            <w:r>
              <w:rPr>
                <w:spacing w:val="-1"/>
              </w:rPr>
              <w:t>▲5、与火焰发生器联动，实时显示灭火进度、灭火材料、灭</w:t>
            </w:r>
            <w:r>
              <w:rPr>
                <w:spacing w:val="-2"/>
              </w:rPr>
              <w:t>火时间等功能。</w:t>
            </w:r>
          </w:p>
          <w:p w14:paraId="16FBE904">
            <w:pPr>
              <w:pStyle w:val="7"/>
              <w:spacing w:before="1" w:line="318" w:lineRule="auto"/>
              <w:ind w:left="114" w:right="103" w:hanging="2"/>
            </w:pPr>
            <w:r>
              <w:rPr>
                <w:spacing w:val="-1"/>
              </w:rPr>
              <w:t>6、针对不同火灾类型可与参与者进行互动，对灭火器的选择</w:t>
            </w:r>
            <w:r>
              <w:rPr>
                <w:spacing w:val="-3"/>
              </w:rPr>
              <w:t>结果做出判断并给出解析，帮助参与者快速掌握各类型灭火器</w:t>
            </w:r>
            <w:r>
              <w:rPr>
                <w:spacing w:val="-2"/>
              </w:rPr>
              <w:t>的使用方法。</w:t>
            </w:r>
          </w:p>
          <w:p w14:paraId="5954BB23">
            <w:pPr>
              <w:pStyle w:val="7"/>
              <w:spacing w:line="211" w:lineRule="auto"/>
              <w:ind w:right="14" w:rightChars="0"/>
              <w:jc w:val="right"/>
              <w:rPr>
                <w:rFonts w:hint="default"/>
                <w:spacing w:val="-6"/>
                <w:lang w:val="en-US" w:eastAsia="zh-CN"/>
              </w:rPr>
            </w:pPr>
            <w:r>
              <w:rPr>
                <w:spacing w:val="-3"/>
              </w:rPr>
              <w:t>7、可设置灭火难度、火焰大小、火焰开关、自动复燃等参数。</w:t>
            </w:r>
          </w:p>
        </w:tc>
        <w:tc>
          <w:tcPr>
            <w:tcW w:w="2633" w:type="dxa"/>
            <w:vAlign w:val="top"/>
          </w:tcPr>
          <w:p w14:paraId="79A90515">
            <w:pPr>
              <w:spacing w:line="278" w:lineRule="auto"/>
              <w:rPr>
                <w:rFonts w:ascii="Arial"/>
                <w:sz w:val="21"/>
              </w:rPr>
            </w:pPr>
          </w:p>
          <w:p w14:paraId="640F6F26">
            <w:pPr>
              <w:spacing w:line="279" w:lineRule="auto"/>
              <w:rPr>
                <w:rFonts w:ascii="Arial"/>
                <w:sz w:val="21"/>
              </w:rPr>
            </w:pPr>
          </w:p>
          <w:p w14:paraId="73FE57CE">
            <w:pPr>
              <w:spacing w:line="279" w:lineRule="auto"/>
              <w:rPr>
                <w:rFonts w:ascii="Arial"/>
                <w:sz w:val="21"/>
              </w:rPr>
            </w:pPr>
          </w:p>
          <w:p w14:paraId="258EF0F3">
            <w:pPr>
              <w:spacing w:line="279" w:lineRule="auto"/>
              <w:rPr>
                <w:rFonts w:ascii="Arial"/>
                <w:sz w:val="21"/>
              </w:rPr>
            </w:pPr>
          </w:p>
          <w:p w14:paraId="536BFAA7">
            <w:pPr>
              <w:spacing w:line="279" w:lineRule="auto"/>
              <w:rPr>
                <w:rFonts w:ascii="Arial"/>
                <w:sz w:val="21"/>
              </w:rPr>
            </w:pPr>
          </w:p>
          <w:p w14:paraId="46E553E6">
            <w:pPr>
              <w:spacing w:line="1219" w:lineRule="exact"/>
              <w:ind w:left="1024" w:leftChars="200" w:hanging="604" w:hangingChars="288"/>
              <w:rPr>
                <w:position w:val="-26"/>
              </w:rPr>
            </w:pPr>
            <w:r>
              <w:rPr>
                <w:position w:val="-24"/>
              </w:rPr>
              <w:drawing>
                <wp:inline distT="0" distB="0" distL="0" distR="0">
                  <wp:extent cx="1373505" cy="774065"/>
                  <wp:effectExtent l="0" t="0" r="17145" b="6985"/>
                  <wp:docPr id="2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1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962" cy="774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position w:val="-24"/>
                <w:lang w:val="en-US" w:eastAsia="zh-CN"/>
              </w:rPr>
              <w:t xml:space="preserve"> </w:t>
            </w:r>
            <w:r>
              <w:rPr>
                <w:spacing w:val="-4"/>
              </w:rPr>
              <w:t>赠送</w:t>
            </w:r>
          </w:p>
        </w:tc>
        <w:tc>
          <w:tcPr>
            <w:tcW w:w="1057" w:type="dxa"/>
            <w:vAlign w:val="top"/>
          </w:tcPr>
          <w:p w14:paraId="27738CE5">
            <w:pPr>
              <w:spacing w:line="265" w:lineRule="auto"/>
              <w:rPr>
                <w:rFonts w:ascii="Arial"/>
                <w:sz w:val="21"/>
              </w:rPr>
            </w:pPr>
          </w:p>
          <w:p w14:paraId="4EEA2D97">
            <w:pPr>
              <w:spacing w:line="265" w:lineRule="auto"/>
              <w:rPr>
                <w:rFonts w:ascii="Arial"/>
                <w:sz w:val="21"/>
              </w:rPr>
            </w:pPr>
          </w:p>
          <w:p w14:paraId="598100D4">
            <w:pPr>
              <w:spacing w:line="265" w:lineRule="auto"/>
              <w:rPr>
                <w:rFonts w:ascii="Arial"/>
                <w:sz w:val="21"/>
              </w:rPr>
            </w:pPr>
          </w:p>
          <w:p w14:paraId="18895C9E">
            <w:pPr>
              <w:spacing w:line="265" w:lineRule="auto"/>
              <w:rPr>
                <w:rFonts w:ascii="Arial"/>
                <w:sz w:val="21"/>
              </w:rPr>
            </w:pPr>
          </w:p>
          <w:p w14:paraId="44E06E1C">
            <w:pPr>
              <w:spacing w:line="266" w:lineRule="auto"/>
              <w:rPr>
                <w:rFonts w:ascii="Arial"/>
                <w:sz w:val="21"/>
              </w:rPr>
            </w:pPr>
          </w:p>
          <w:p w14:paraId="1D335DD7">
            <w:pPr>
              <w:spacing w:line="266" w:lineRule="auto"/>
              <w:rPr>
                <w:rFonts w:ascii="Arial"/>
                <w:sz w:val="21"/>
              </w:rPr>
            </w:pPr>
          </w:p>
          <w:p w14:paraId="6FDB71F3">
            <w:pPr>
              <w:spacing w:line="266" w:lineRule="auto"/>
              <w:rPr>
                <w:rFonts w:ascii="Arial"/>
                <w:sz w:val="21"/>
              </w:rPr>
            </w:pPr>
          </w:p>
          <w:p w14:paraId="15AEF7FD">
            <w:pPr>
              <w:pStyle w:val="7"/>
              <w:spacing w:before="58" w:line="220" w:lineRule="auto"/>
              <w:ind w:left="352" w:leftChars="0"/>
              <w:rPr>
                <w:sz w:val="20"/>
                <w:szCs w:val="20"/>
              </w:rPr>
            </w:pPr>
          </w:p>
        </w:tc>
      </w:tr>
      <w:tr w14:paraId="13CCF5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8" w:hRule="atLeast"/>
        </w:trPr>
        <w:tc>
          <w:tcPr>
            <w:tcW w:w="504" w:type="dxa"/>
            <w:vAlign w:val="top"/>
          </w:tcPr>
          <w:p w14:paraId="2096310D">
            <w:pPr>
              <w:spacing w:line="304" w:lineRule="auto"/>
              <w:rPr>
                <w:rFonts w:ascii="Arial"/>
                <w:sz w:val="21"/>
              </w:rPr>
            </w:pPr>
          </w:p>
          <w:p w14:paraId="240FD2EC">
            <w:pPr>
              <w:spacing w:line="305" w:lineRule="auto"/>
              <w:rPr>
                <w:rFonts w:ascii="Arial"/>
                <w:sz w:val="21"/>
              </w:rPr>
            </w:pPr>
          </w:p>
          <w:p w14:paraId="0568BCD7">
            <w:pPr>
              <w:pStyle w:val="7"/>
              <w:spacing w:before="65" w:line="268" w:lineRule="exact"/>
              <w:ind w:left="210" w:leftChars="0"/>
              <w:rPr>
                <w:rFonts w:hint="eastAsia"/>
                <w:position w:val="1"/>
                <w:sz w:val="20"/>
                <w:szCs w:val="20"/>
                <w:lang w:val="en-US" w:eastAsia="zh-CN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</w:tc>
        <w:tc>
          <w:tcPr>
            <w:tcW w:w="1303" w:type="dxa"/>
            <w:vAlign w:val="top"/>
          </w:tcPr>
          <w:p w14:paraId="4278F102">
            <w:pPr>
              <w:spacing w:line="453" w:lineRule="auto"/>
              <w:rPr>
                <w:rFonts w:ascii="Arial"/>
                <w:sz w:val="21"/>
              </w:rPr>
            </w:pPr>
          </w:p>
          <w:p w14:paraId="1419D55C">
            <w:pPr>
              <w:pStyle w:val="7"/>
              <w:spacing w:before="65" w:line="290" w:lineRule="auto"/>
              <w:ind w:left="237" w:leftChars="0" w:right="125" w:rightChars="0" w:hanging="111" w:firstLineChars="0"/>
              <w:rPr>
                <w:spacing w:val="8"/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【标配】无</w:t>
            </w:r>
            <w:r>
              <w:rPr>
                <w:spacing w:val="6"/>
                <w:sz w:val="20"/>
                <w:szCs w:val="20"/>
              </w:rPr>
              <w:t>线遥控器</w:t>
            </w:r>
          </w:p>
        </w:tc>
        <w:tc>
          <w:tcPr>
            <w:tcW w:w="5008" w:type="dxa"/>
            <w:vAlign w:val="top"/>
          </w:tcPr>
          <w:p w14:paraId="4DA354F1">
            <w:pPr>
              <w:pStyle w:val="7"/>
              <w:spacing w:before="98" w:line="220" w:lineRule="auto"/>
              <w:ind w:left="124"/>
              <w:rPr>
                <w:rFonts w:hint="default" w:eastAsia="宋体"/>
                <w:lang w:val="en-US" w:eastAsia="zh-CN"/>
              </w:rPr>
            </w:pPr>
            <w:r>
              <w:rPr>
                <w:spacing w:val="-2"/>
              </w:rPr>
              <w:t>1、四键式专用无线遥控器</w:t>
            </w:r>
            <w:r>
              <w:rPr>
                <w:rFonts w:hint="eastAsia"/>
                <w:spacing w:val="-2"/>
                <w:lang w:eastAsia="zh-CN"/>
              </w:rPr>
              <w:t>，</w:t>
            </w:r>
            <w:r>
              <w:rPr>
                <w:rFonts w:hint="eastAsia"/>
                <w:spacing w:val="-2"/>
                <w:lang w:val="en-US" w:eastAsia="zh-CN"/>
              </w:rPr>
              <w:t>配合火焰发生器使用。</w:t>
            </w:r>
          </w:p>
          <w:p w14:paraId="11400018">
            <w:pPr>
              <w:pStyle w:val="7"/>
              <w:spacing w:before="95" w:line="219" w:lineRule="auto"/>
              <w:ind w:left="113"/>
            </w:pPr>
            <w:r>
              <w:rPr>
                <w:spacing w:val="-2"/>
              </w:rPr>
              <w:t>2、发射频率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433Mhz。</w:t>
            </w:r>
          </w:p>
          <w:p w14:paraId="2C2399C0">
            <w:pPr>
              <w:pStyle w:val="7"/>
              <w:spacing w:before="96" w:line="219" w:lineRule="auto"/>
              <w:ind w:left="115"/>
            </w:pPr>
            <w:r>
              <w:rPr>
                <w:spacing w:val="-2"/>
              </w:rPr>
              <w:t>3、遥控距离不低于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200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米。</w:t>
            </w:r>
          </w:p>
          <w:p w14:paraId="012FBE0A">
            <w:pPr>
              <w:pStyle w:val="7"/>
              <w:spacing w:before="96" w:line="270" w:lineRule="auto"/>
              <w:ind w:left="114" w:leftChars="0" w:right="127" w:rightChars="0" w:firstLine="3" w:firstLineChars="0"/>
              <w:rPr>
                <w:rFonts w:hint="default"/>
                <w:spacing w:val="-6"/>
                <w:lang w:val="en-US" w:eastAsia="zh-CN"/>
              </w:rPr>
            </w:pPr>
            <w:r>
              <w:rPr>
                <w:spacing w:val="-1"/>
              </w:rPr>
              <w:t>▲4、具有火焰大小调节、火焰开关、灭火难度设置、复燃开</w:t>
            </w:r>
            <w:r>
              <w:rPr>
                <w:spacing w:val="-3"/>
              </w:rPr>
              <w:t>关功能。</w:t>
            </w:r>
          </w:p>
        </w:tc>
        <w:tc>
          <w:tcPr>
            <w:tcW w:w="2633" w:type="dxa"/>
            <w:vAlign w:val="top"/>
          </w:tcPr>
          <w:p w14:paraId="6F91D733">
            <w:pPr>
              <w:spacing w:before="153" w:line="1248" w:lineRule="exact"/>
              <w:ind w:firstLine="940" w:firstLineChars="0"/>
              <w:rPr>
                <w:rFonts w:hint="default" w:eastAsia="宋体"/>
                <w:position w:val="-26"/>
                <w:lang w:val="en-US" w:eastAsia="zh-CN"/>
              </w:rPr>
            </w:pPr>
            <w:r>
              <w:rPr>
                <w:position w:val="-24"/>
              </w:rPr>
              <w:drawing>
                <wp:inline distT="0" distB="0" distL="0" distR="0">
                  <wp:extent cx="474980" cy="791845"/>
                  <wp:effectExtent l="0" t="0" r="1270" b="8255"/>
                  <wp:docPr id="3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 1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488" cy="792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position w:val="-24"/>
                <w:lang w:val="en-US" w:eastAsia="zh-CN"/>
              </w:rPr>
              <w:t>4个</w:t>
            </w:r>
          </w:p>
        </w:tc>
        <w:tc>
          <w:tcPr>
            <w:tcW w:w="1057" w:type="dxa"/>
            <w:vAlign w:val="top"/>
          </w:tcPr>
          <w:p w14:paraId="35342B28">
            <w:pPr>
              <w:spacing w:line="304" w:lineRule="auto"/>
              <w:rPr>
                <w:rFonts w:ascii="Arial"/>
                <w:sz w:val="21"/>
              </w:rPr>
            </w:pPr>
          </w:p>
          <w:p w14:paraId="58509655">
            <w:pPr>
              <w:spacing w:line="305" w:lineRule="auto"/>
              <w:rPr>
                <w:rFonts w:ascii="Arial"/>
                <w:sz w:val="21"/>
              </w:rPr>
            </w:pPr>
          </w:p>
          <w:p w14:paraId="663318F0">
            <w:pPr>
              <w:pStyle w:val="7"/>
              <w:spacing w:before="65" w:line="228" w:lineRule="auto"/>
              <w:ind w:left="219" w:leftChars="0"/>
              <w:rPr>
                <w:sz w:val="20"/>
                <w:szCs w:val="20"/>
              </w:rPr>
            </w:pPr>
          </w:p>
        </w:tc>
      </w:tr>
    </w:tbl>
    <w:p w14:paraId="07D8F907">
      <w:pPr>
        <w:rPr>
          <w:rFonts w:ascii="Arial"/>
          <w:sz w:val="21"/>
        </w:rPr>
      </w:pPr>
    </w:p>
    <w:sectPr>
      <w:footerReference r:id="rId5" w:type="default"/>
      <w:pgSz w:w="11906" w:h="16839"/>
      <w:pgMar w:top="400" w:right="724" w:bottom="1180" w:left="724" w:header="0" w:footer="96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0673C1">
    <w:pPr>
      <w:pStyle w:val="2"/>
      <w:spacing w:line="209" w:lineRule="auto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231429"/>
    <w:multiLevelType w:val="singleLevel"/>
    <w:tmpl w:val="E4231429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7940EBD"/>
    <w:rsid w:val="5177263D"/>
    <w:rsid w:val="54232661"/>
    <w:rsid w:val="66383B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5.pn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954</Words>
  <Characters>1015</Characters>
  <TotalTime>6</TotalTime>
  <ScaleCrop>false</ScaleCrop>
  <LinksUpToDate>false</LinksUpToDate>
  <CharactersWithSpaces>1095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2026-04-02T09:48:00Z</dcterms:created>
  <dc:creator>Administrator</dc:creator>
  <cp:lastModifiedBy>大壮哥</cp:lastModifiedBy>
  <dcterms:modified xsi:type="dcterms:W3CDTF">2026-07-08T07:26:38Z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2026-07-07T15:03:47Z</vt:filetime>
  </property>
  <property fmtid="{D5CDD505-2E9C-101B-9397-08002B2CF9AE}" pid="4" name="KSOTemplateDocerSaveRecord">
    <vt:lpwstr>eyJoZGlkIjoiYTU5YmIyNmQ4ZGY3NmY1YmFlN2RmNjBlOGRmNjJkNTYiLCJ1c2VySWQiOiIxMTc2MTE5MTY0In0=</vt:lpwstr>
  </property>
  <property fmtid="{D5CDD505-2E9C-101B-9397-08002B2CF9AE}" pid="5" name="KSOProductBuildVer">
    <vt:lpwstr>2052-12.1.0.26895</vt:lpwstr>
  </property>
  <property fmtid="{D5CDD505-2E9C-101B-9397-08002B2CF9AE}" pid="6" name="ICV">
    <vt:lpwstr>08DDE2C286184B82A472A9317F5A1FB6_12</vt:lpwstr>
  </property>
</Properties>
</file>